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9A133">
      <w:pPr>
        <w:jc w:val="left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附件1：</w:t>
      </w:r>
    </w:p>
    <w:p w14:paraId="7AB9F837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4A03F045">
      <w:pPr>
        <w:jc w:val="center"/>
        <w:rPr>
          <w:rFonts w:hint="eastAsia" w:ascii="黑体" w:hAnsi="黑体" w:eastAsia="黑体" w:cs="黑体"/>
          <w:color w:val="FF0000"/>
          <w:sz w:val="24"/>
          <w:szCs w:val="32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西北农林科技大学学工应用勤工助学操作手册</w:t>
      </w:r>
    </w:p>
    <w:p w14:paraId="6219A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32"/>
          <w:lang w:eastAsia="zh-CN"/>
        </w:rPr>
      </w:pPr>
    </w:p>
    <w:p w14:paraId="6AAAB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32"/>
          <w:lang w:eastAsia="zh-CN"/>
        </w:rPr>
        <w:t>同学你好，</w:t>
      </w:r>
      <w:r>
        <w:rPr>
          <w:rFonts w:hint="eastAsia" w:ascii="仿宋" w:hAnsi="仿宋" w:eastAsia="仿宋" w:cs="仿宋"/>
          <w:color w:val="auto"/>
          <w:sz w:val="24"/>
          <w:szCs w:val="32"/>
        </w:rPr>
        <w:t>为确保顺利开启勤工助学工作，需按以下流程完成岗前培训、测试及报名</w:t>
      </w:r>
      <w:r>
        <w:rPr>
          <w:rFonts w:hint="eastAsia" w:ascii="仿宋" w:hAnsi="仿宋" w:eastAsia="仿宋" w:cs="仿宋"/>
          <w:color w:val="auto"/>
          <w:sz w:val="24"/>
          <w:szCs w:val="32"/>
          <w:lang w:eastAsia="zh-CN"/>
        </w:rPr>
        <w:t>。</w:t>
      </w:r>
    </w:p>
    <w:p w14:paraId="491C8A35">
      <w:pPr>
        <w:spacing w:line="360" w:lineRule="auto"/>
        <w:jc w:val="center"/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</w:pPr>
    </w:p>
    <w:p w14:paraId="6B7E63FF">
      <w:pPr>
        <w:spacing w:line="360" w:lineRule="auto"/>
        <w:jc w:val="center"/>
        <w:rPr>
          <w:rFonts w:hint="default" w:ascii="黑体" w:hAnsi="黑体" w:eastAsia="黑体" w:cs="黑体"/>
          <w:color w:val="auto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36"/>
          <w:lang w:val="en-US" w:eastAsia="zh-CN"/>
        </w:rPr>
        <w:t>第一部分  培训及测试流程</w:t>
      </w:r>
    </w:p>
    <w:p w14:paraId="5EE73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color w:val="auto"/>
          <w:sz w:val="24"/>
          <w:szCs w:val="32"/>
        </w:rPr>
      </w:pPr>
      <w:r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24"/>
          <w:szCs w:val="32"/>
        </w:rPr>
        <w:t>在线学习</w:t>
      </w:r>
    </w:p>
    <w:p w14:paraId="72A49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B0F0"/>
          <w:sz w:val="24"/>
          <w:szCs w:val="32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32"/>
        </w:rPr>
        <w:t>校史校情：</w: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fldChar w:fldCharType="begin"/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instrText xml:space="preserve"> HYPERLINK "https://mp.weixin.qq.com/s/3AtNRL_VjQQEGITFaiJ3uw?click_id=3" </w:instrTex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fldChar w:fldCharType="separate"/>
      </w:r>
      <w:r>
        <w:rPr>
          <w:rStyle w:val="12"/>
          <w:rFonts w:hint="eastAsia" w:ascii="仿宋" w:hAnsi="仿宋" w:eastAsia="仿宋" w:cs="仿宋"/>
          <w:sz w:val="24"/>
          <w:szCs w:val="32"/>
        </w:rPr>
        <w:t>https://mp.weixin.qq.com/s/3AtNRL_VjQQEGITFaiJ3uw</w: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fldChar w:fldCharType="end"/>
      </w:r>
    </w:p>
    <w:p w14:paraId="5E2B5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B0F0"/>
          <w:sz w:val="24"/>
          <w:szCs w:val="32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32"/>
        </w:rPr>
        <w:t>资助政策：</w: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fldChar w:fldCharType="begin"/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instrText xml:space="preserve"> HYPERLINK "https://mp.weixin.qq.com/s/LKO9WtVVDEjn6hR5czAY6w" </w:instrTex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fldChar w:fldCharType="separate"/>
      </w:r>
      <w:r>
        <w:rPr>
          <w:rStyle w:val="12"/>
          <w:rFonts w:hint="eastAsia" w:ascii="仿宋" w:hAnsi="仿宋" w:eastAsia="仿宋" w:cs="仿宋"/>
          <w:sz w:val="24"/>
          <w:szCs w:val="32"/>
        </w:rPr>
        <w:t>https://mp.we</w:t>
      </w:r>
      <w:bookmarkStart w:id="1" w:name="_GoBack"/>
      <w:bookmarkEnd w:id="1"/>
      <w:r>
        <w:rPr>
          <w:rStyle w:val="12"/>
          <w:rFonts w:hint="eastAsia" w:ascii="仿宋" w:hAnsi="仿宋" w:eastAsia="仿宋" w:cs="仿宋"/>
          <w:sz w:val="24"/>
          <w:szCs w:val="32"/>
        </w:rPr>
        <w:t>ixin.qq.com/s/LKO9WtVVDEjn6hR5czAY6w</w: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fldChar w:fldCharType="end"/>
      </w:r>
    </w:p>
    <w:p w14:paraId="4884E5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color w:val="auto"/>
          <w:sz w:val="24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24"/>
          <w:szCs w:val="32"/>
        </w:rPr>
        <w:t>在线测验</w:t>
      </w:r>
    </w:p>
    <w:p w14:paraId="00637F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32"/>
        </w:rPr>
      </w:pP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学习测试</w:t>
      </w:r>
      <w:r>
        <w:rPr>
          <w:rFonts w:hint="eastAsia" w:ascii="仿宋" w:hAnsi="仿宋" w:eastAsia="仿宋" w:cs="仿宋"/>
          <w:color w:val="auto"/>
          <w:sz w:val="24"/>
          <w:szCs w:val="32"/>
        </w:rPr>
        <w:t>：</w:t>
      </w:r>
    </w:p>
    <w:p w14:paraId="600475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32"/>
        </w:rPr>
      </w:pPr>
      <w:r>
        <w:rPr>
          <w:rFonts w:hint="eastAsia" w:ascii="仿宋" w:hAnsi="仿宋" w:eastAsia="仿宋" w:cs="仿宋"/>
          <w:color w:val="auto"/>
          <w:sz w:val="24"/>
          <w:szCs w:val="32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32"/>
        </w:rPr>
        <w:instrText xml:space="preserve"> HYPERLINK "https://wjx.nwafu.edu.cn/vm/wEVqgMC.aspx?corpId=org0001990098" </w:instrText>
      </w:r>
      <w:r>
        <w:rPr>
          <w:rFonts w:hint="eastAsia" w:ascii="仿宋" w:hAnsi="仿宋" w:eastAsia="仿宋" w:cs="仿宋"/>
          <w:color w:val="auto"/>
          <w:sz w:val="24"/>
          <w:szCs w:val="32"/>
        </w:rPr>
        <w:fldChar w:fldCharType="separate"/>
      </w:r>
      <w:r>
        <w:rPr>
          <w:rStyle w:val="12"/>
          <w:rFonts w:hint="eastAsia" w:ascii="仿宋" w:hAnsi="仿宋" w:eastAsia="仿宋" w:cs="仿宋"/>
          <w:sz w:val="24"/>
          <w:szCs w:val="32"/>
        </w:rPr>
        <w:t>https://wjx.nwafu.edu.cn/vm/wEVqgMC.aspx?corpId=org0001990098</w:t>
      </w:r>
      <w:r>
        <w:rPr>
          <w:rFonts w:hint="eastAsia" w:ascii="仿宋" w:hAnsi="仿宋" w:eastAsia="仿宋" w:cs="仿宋"/>
          <w:color w:val="auto"/>
          <w:sz w:val="24"/>
          <w:szCs w:val="32"/>
        </w:rPr>
        <w:fldChar w:fldCharType="end"/>
      </w:r>
    </w:p>
    <w:p w14:paraId="7A55BCB2">
      <w:pPr>
        <w:spacing w:line="360" w:lineRule="auto"/>
        <w:ind w:firstLine="422" w:firstLineChars="200"/>
        <w:jc w:val="both"/>
        <w:rPr>
          <w:rFonts w:hint="eastAsia" w:ascii="楷体" w:hAnsi="楷体" w:eastAsia="楷体" w:cs="楷体"/>
          <w:b/>
          <w:bCs/>
          <w:lang w:eastAsia="zh-CN"/>
        </w:rPr>
      </w:pPr>
      <w:r>
        <w:rPr>
          <w:rFonts w:hint="eastAsia" w:ascii="楷体" w:hAnsi="楷体" w:eastAsia="楷体" w:cs="楷体"/>
          <w:b/>
          <w:bCs/>
          <w:lang w:eastAsia="zh-CN"/>
        </w:rPr>
        <w:t>注：请认真完成在线学习后进行测试，</w:t>
      </w:r>
      <w:r>
        <w:rPr>
          <w:rFonts w:hint="eastAsia" w:ascii="楷体" w:hAnsi="楷体" w:eastAsia="楷体" w:cs="楷体"/>
          <w:b/>
          <w:bCs/>
          <w:color w:val="FF0000"/>
          <w:lang w:eastAsia="zh-CN"/>
        </w:rPr>
        <w:t>考试机会仅一次</w:t>
      </w:r>
    </w:p>
    <w:p w14:paraId="4299C20F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32"/>
        </w:rPr>
        <w:t>【温馨提示】培训系统每学期集中开放一次，本学期拟参加勤工助学的学生务必</w:t>
      </w: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于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32"/>
          <w:lang w:val="en-US" w:eastAsia="zh-CN"/>
        </w:rPr>
        <w:t>9月11日中午12:00</w:t>
      </w:r>
      <w:r>
        <w:rPr>
          <w:rFonts w:hint="eastAsia" w:ascii="仿宋" w:hAnsi="仿宋" w:eastAsia="仿宋" w:cs="仿宋"/>
          <w:color w:val="auto"/>
          <w:sz w:val="24"/>
          <w:szCs w:val="32"/>
          <w:lang w:val="en-US" w:eastAsia="zh-CN"/>
        </w:rPr>
        <w:t>前完成岗前通识培训及测试</w:t>
      </w:r>
      <w:r>
        <w:rPr>
          <w:rFonts w:hint="eastAsia" w:ascii="仿宋" w:hAnsi="仿宋" w:eastAsia="仿宋" w:cs="仿宋"/>
          <w:color w:val="auto"/>
          <w:sz w:val="24"/>
          <w:szCs w:val="32"/>
        </w:rPr>
        <w:t>，否则无法报名勤工助学活动。</w:t>
      </w:r>
    </w:p>
    <w:p w14:paraId="0B4E339A">
      <w:pPr>
        <w:spacing w:line="360" w:lineRule="auto"/>
        <w:jc w:val="center"/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</w:pPr>
    </w:p>
    <w:p w14:paraId="3E371319">
      <w:pPr>
        <w:numPr>
          <w:ilvl w:val="0"/>
          <w:numId w:val="1"/>
        </w:numPr>
        <w:spacing w:line="360" w:lineRule="auto"/>
        <w:jc w:val="center"/>
        <w:rPr>
          <w:rFonts w:hint="eastAsia" w:ascii="黑体" w:hAnsi="黑体" w:eastAsia="黑体" w:cs="黑体"/>
          <w:color w:val="auto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36"/>
          <w:lang w:val="en-US" w:eastAsia="zh-CN"/>
        </w:rPr>
        <w:t xml:space="preserve"> 报名操作流程</w:t>
      </w:r>
    </w:p>
    <w:p w14:paraId="5C694084">
      <w:pPr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  <w:t>一、浏览器要求</w:t>
      </w:r>
    </w:p>
    <w:p w14:paraId="12A76DF1">
      <w:pPr>
        <w:pStyle w:val="14"/>
        <w:spacing w:line="360" w:lineRule="auto"/>
        <w:ind w:left="432" w:firstLine="0" w:firstLineChars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推荐使用</w:t>
      </w:r>
      <w:r>
        <w:rPr>
          <w:rFonts w:hint="eastAsia" w:ascii="仿宋" w:hAnsi="仿宋" w:eastAsia="仿宋" w:cs="仿宋"/>
          <w:color w:val="FF0000"/>
          <w:sz w:val="24"/>
        </w:rPr>
        <w:t>谷歌浏览器</w:t>
      </w:r>
      <w:r>
        <w:rPr>
          <w:rFonts w:hint="eastAsia" w:ascii="仿宋" w:hAnsi="仿宋" w:eastAsia="仿宋" w:cs="仿宋"/>
          <w:sz w:val="24"/>
        </w:rPr>
        <w:t>进行操作。</w:t>
      </w:r>
    </w:p>
    <w:p w14:paraId="4DA8EDAD">
      <w:pPr>
        <w:pStyle w:val="14"/>
        <w:spacing w:line="360" w:lineRule="auto"/>
        <w:ind w:left="432" w:firstLine="0" w:firstLineChars="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注：360系列浏览器使用时，不支持兼容模式，请使用</w:t>
      </w:r>
      <w:r>
        <w:rPr>
          <w:rFonts w:hint="eastAsia" w:ascii="仿宋" w:hAnsi="仿宋" w:eastAsia="仿宋" w:cs="仿宋"/>
          <w:color w:val="FF0000"/>
          <w:sz w:val="24"/>
        </w:rPr>
        <w:t>极速</w:t>
      </w:r>
      <w:r>
        <w:rPr>
          <w:rFonts w:hint="eastAsia" w:ascii="仿宋" w:hAnsi="仿宋" w:eastAsia="仿宋" w:cs="仿宋"/>
          <w:sz w:val="24"/>
        </w:rPr>
        <w:t>模式。</w:t>
      </w:r>
    </w:p>
    <w:p w14:paraId="7F8C23FA">
      <w:pPr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32"/>
          <w:lang w:val="en-US" w:eastAsia="zh-CN"/>
        </w:rPr>
        <w:t>二、用户登录</w:t>
      </w:r>
    </w:p>
    <w:p w14:paraId="67A8559B">
      <w:pPr>
        <w:spacing w:line="360" w:lineRule="auto"/>
        <w:ind w:firstLine="48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1.登陆地址为：</w:t>
      </w:r>
      <w:r>
        <w:rPr>
          <w:rFonts w:hint="eastAsia" w:ascii="仿宋" w:hAnsi="仿宋" w:eastAsia="仿宋" w:cs="仿宋"/>
          <w:color w:val="00B0F0"/>
          <w:sz w:val="24"/>
          <w:szCs w:val="32"/>
          <w:u w:val="single"/>
        </w:rPr>
        <w:t>https://newehall.nwafu.edu.cn</w:t>
      </w:r>
    </w:p>
    <w:p w14:paraId="3FE90422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2.使用统一身份认证账号/密码登录系统。</w:t>
      </w:r>
    </w:p>
    <w:p w14:paraId="69506A9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274310" cy="2668905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CFD8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楷体" w:hAnsi="楷体" w:eastAsia="楷体" w:cs="楷体"/>
        </w:rPr>
        <w:t>图1</w:t>
      </w:r>
    </w:p>
    <w:p w14:paraId="6608956E">
      <w:pPr>
        <w:pStyle w:val="14"/>
        <w:numPr>
          <w:ilvl w:val="0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kern w:val="2"/>
          <w:sz w:val="24"/>
          <w:szCs w:val="32"/>
          <w:lang w:val="en-US" w:eastAsia="zh-CN" w:bidi="ar-SA"/>
        </w:rPr>
        <w:t>3.在</w:t>
      </w:r>
      <w:r>
        <w:rPr>
          <w:rFonts w:hint="eastAsia" w:ascii="仿宋" w:hAnsi="仿宋" w:eastAsia="仿宋" w:cs="仿宋"/>
          <w:sz w:val="24"/>
        </w:rPr>
        <w:t>【办事大厅】首页搜索“勤工助学”，点击进入应用（如图2所示）；或在【工作台】--【学工系统】中找到“勤工助学”应用（如图3所示），点击进入。</w:t>
      </w:r>
    </w:p>
    <w:p w14:paraId="7D8EFE8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drawing>
          <wp:inline distT="0" distB="0" distL="0" distR="0">
            <wp:extent cx="5274310" cy="1527175"/>
            <wp:effectExtent l="0" t="0" r="2540" b="0"/>
            <wp:docPr id="2095357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5738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168B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图2</w:t>
      </w:r>
    </w:p>
    <w:p w14:paraId="7DB8D7CA">
      <w:pPr>
        <w:spacing w:line="360" w:lineRule="auto"/>
        <w:rPr>
          <w:rFonts w:hint="eastAsia" w:ascii="仿宋" w:hAnsi="仿宋" w:eastAsia="仿宋" w:cs="仿宋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65405</wp:posOffset>
                </wp:positionV>
                <wp:extent cx="367030" cy="111125"/>
                <wp:effectExtent l="6350" t="6350" r="7620" b="196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42025" y="979805"/>
                          <a:ext cx="367030" cy="111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5.75pt;margin-top:5.15pt;height:8.75pt;width:28.9pt;z-index:251659264;v-text-anchor:middle;mso-width-relative:page;mso-height-relative:page;" fillcolor="#5B9BD5 [3204]" filled="t" stroked="t" coordsize="21600,21600" o:gfxdata="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qjGEJ1QAAAAkBAAAP&#10;AAAAAAAAAAEAIAAAACIAAABkcnMvZG93bnJldi54bWxQSwECFAAUAAAACACHTuJADAYw8o0CAAAi&#10;BQAADgAAAAAAAAABACAAAAAkAQAAZHJzL2Uyb0RvYy54bWxQSwUGAAAAAAYABgBZAQAAIwYAAAAA&#10;">
                <v:fill on="t" focussize="0,0"/>
                <v:stroke weight="1pt" color="#385724 [1609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w:drawing>
          <wp:inline distT="0" distB="0" distL="0" distR="0">
            <wp:extent cx="5274310" cy="4692650"/>
            <wp:effectExtent l="0" t="0" r="2540" b="0"/>
            <wp:docPr id="9350931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9316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B65FB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图3</w:t>
      </w:r>
    </w:p>
    <w:p w14:paraId="6B8CAC0A">
      <w:pPr>
        <w:numPr>
          <w:ilvl w:val="0"/>
          <w:numId w:val="0"/>
        </w:numPr>
        <w:spacing w:line="360" w:lineRule="auto"/>
        <w:ind w:firstLine="480" w:firstLineChars="200"/>
        <w:outlineLvl w:val="1"/>
        <w:rPr>
          <w:rFonts w:hint="eastAsia" w:ascii="黑体" w:hAnsi="黑体" w:eastAsia="黑体" w:cs="黑体"/>
          <w:b w:val="0"/>
          <w:bCs w:val="0"/>
          <w:sz w:val="24"/>
          <w:szCs w:val="32"/>
        </w:rPr>
      </w:pPr>
      <w:bookmarkStart w:id="0" w:name="_Toc461"/>
      <w:r>
        <w:rPr>
          <w:rFonts w:hint="eastAsia" w:ascii="黑体" w:hAnsi="黑体" w:eastAsia="黑体" w:cs="黑体"/>
          <w:b w:val="0"/>
          <w:bCs w:val="0"/>
          <w:kern w:val="2"/>
          <w:sz w:val="24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</w:rPr>
        <w:t>申请操作</w:t>
      </w:r>
    </w:p>
    <w:p w14:paraId="0B7CC8A6">
      <w:pPr>
        <w:numPr>
          <w:ilvl w:val="0"/>
          <w:numId w:val="0"/>
        </w:num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1.岗位申请</w:t>
      </w:r>
      <w:bookmarkEnd w:id="0"/>
    </w:p>
    <w:p w14:paraId="4D2A472B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该页面的主要功能是学生进行勤工助学岗位申请，点击“申请新岗位”，进入可申请岗位页面（如图4所示）。</w:t>
      </w:r>
    </w:p>
    <w:p w14:paraId="69F925AB">
      <w:pPr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274310" cy="2096770"/>
            <wp:effectExtent l="0" t="0" r="2540" b="0"/>
            <wp:docPr id="10973588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35887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7044A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图4</w:t>
      </w:r>
    </w:p>
    <w:p w14:paraId="71DC4553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进入可申请岗位页面后，学生可根据自身实际需求选择可申请岗位（如图5所示），点击“查看详情”可查看岗位详情（如图6所示）。</w:t>
      </w:r>
    </w:p>
    <w:p w14:paraId="2A5C7511">
      <w:pPr>
        <w:spacing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2880" cy="1807210"/>
            <wp:effectExtent l="0" t="0" r="10160" b="635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E704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图5</w:t>
      </w:r>
    </w:p>
    <w:p w14:paraId="08C25621">
      <w:pPr>
        <w:spacing w:line="360" w:lineRule="auto"/>
        <w:jc w:val="center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2880" cy="2224405"/>
            <wp:effectExtent l="0" t="0" r="10160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E304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图6</w:t>
      </w:r>
    </w:p>
    <w:p w14:paraId="2FF684F7">
      <w:pPr>
        <w:spacing w:line="360" w:lineRule="auto"/>
        <w:ind w:firstLine="48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32"/>
        </w:rPr>
        <w:t>点击“申请”之后，可查看岗位申请界面（如图7所示），学生需如实填写“手机号码”和“申请理由”。信息填写完成后，点击“申请”即可成功申请。</w:t>
      </w:r>
    </w:p>
    <w:p w14:paraId="1F57C3B6">
      <w:pPr>
        <w:spacing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9865" cy="2202815"/>
            <wp:effectExtent l="0" t="0" r="3175" b="698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20429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图7</w:t>
      </w:r>
    </w:p>
    <w:p w14:paraId="4C8C5CBC">
      <w:pPr>
        <w:spacing w:line="360" w:lineRule="auto"/>
        <w:ind w:firstLine="48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32"/>
        </w:rPr>
        <w:t>返回“我的岗位”页面，点击“查看申请记录”即可查看岗位申请记录，如图8所示。</w:t>
      </w:r>
    </w:p>
    <w:p w14:paraId="3FCE6DF1">
      <w:pPr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274310" cy="1982470"/>
            <wp:effectExtent l="0" t="0" r="2540" b="0"/>
            <wp:docPr id="3157390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3904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81A0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图8</w:t>
      </w:r>
    </w:p>
    <w:p w14:paraId="10E5D77B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进入“岗位申请记录”页面，可查看申请记录，点击“详情”即可查看岗位详情，如图9所示。</w:t>
      </w:r>
    </w:p>
    <w:p w14:paraId="5C884301">
      <w:pPr>
        <w:spacing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9865" cy="967105"/>
            <wp:effectExtent l="0" t="0" r="3175" b="825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557A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图9</w:t>
      </w:r>
    </w:p>
    <w:p w14:paraId="19FF1A8A">
      <w:pPr>
        <w:spacing w:line="360" w:lineRule="auto"/>
        <w:ind w:firstLine="48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32"/>
        </w:rPr>
        <w:t>进入“岗位详情”页面，可查看审核进度和进行撤销申请操作，如图10所示。</w:t>
      </w:r>
    </w:p>
    <w:p w14:paraId="6AA9E54A">
      <w:pPr>
        <w:spacing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3515" cy="1745615"/>
            <wp:effectExtent l="0" t="0" r="9525" b="698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3AD3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图10</w:t>
      </w:r>
    </w:p>
    <w:p w14:paraId="0CB37C8F">
      <w:pPr>
        <w:spacing w:line="360" w:lineRule="auto"/>
        <w:ind w:firstLine="48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32"/>
        </w:rPr>
        <w:t>点击“撤销”会进入“确认撤回申请”界面，点击确定即可撤回岗位申请，如图11所示。</w:t>
      </w:r>
    </w:p>
    <w:p w14:paraId="5CBE2D80">
      <w:pPr>
        <w:spacing w:line="360" w:lineRule="auto"/>
        <w:rPr>
          <w:rFonts w:hint="eastAsia" w:ascii="仿宋" w:hAnsi="仿宋" w:eastAsia="仿宋" w:cs="仿宋"/>
        </w:rPr>
      </w:pPr>
      <w:r>
        <w:drawing>
          <wp:inline distT="0" distB="0" distL="114300" distR="114300">
            <wp:extent cx="5265420" cy="1937385"/>
            <wp:effectExtent l="0" t="0" r="7620" b="1333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46025">
      <w:pPr>
        <w:spacing w:line="360" w:lineRule="auto"/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图11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76C668-C812-4670-8965-FC6580EAC3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D6D4C6B-07CD-4A20-AD48-ED70677783F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5824383-44B9-473F-8B6C-0DC52ED2B5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2D0F225-8231-4777-B69F-7552979CD6A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6D1F2B"/>
    <w:multiLevelType w:val="singleLevel"/>
    <w:tmpl w:val="346D1F2B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ReumeCategoryDocument" w:val="0"/>
  </w:docVars>
  <w:rsids>
    <w:rsidRoot w:val="00A8128E"/>
    <w:rsid w:val="0004134B"/>
    <w:rsid w:val="004934D0"/>
    <w:rsid w:val="006A6BF1"/>
    <w:rsid w:val="00852DF9"/>
    <w:rsid w:val="00A10EA6"/>
    <w:rsid w:val="00A8128E"/>
    <w:rsid w:val="00AD6766"/>
    <w:rsid w:val="00BB7BB9"/>
    <w:rsid w:val="00BC5382"/>
    <w:rsid w:val="00BE317B"/>
    <w:rsid w:val="00C515A2"/>
    <w:rsid w:val="00C8500E"/>
    <w:rsid w:val="00D37299"/>
    <w:rsid w:val="00D37C76"/>
    <w:rsid w:val="00D40A9A"/>
    <w:rsid w:val="00E71C73"/>
    <w:rsid w:val="00F64F7B"/>
    <w:rsid w:val="00F8746D"/>
    <w:rsid w:val="00FA39A6"/>
    <w:rsid w:val="086B5F67"/>
    <w:rsid w:val="09406441"/>
    <w:rsid w:val="09B5582F"/>
    <w:rsid w:val="0B4A0906"/>
    <w:rsid w:val="0EAD49A7"/>
    <w:rsid w:val="0F2C6214"/>
    <w:rsid w:val="119F2BC3"/>
    <w:rsid w:val="12972790"/>
    <w:rsid w:val="13F20378"/>
    <w:rsid w:val="16414918"/>
    <w:rsid w:val="1650490B"/>
    <w:rsid w:val="16AB5C70"/>
    <w:rsid w:val="17AD784C"/>
    <w:rsid w:val="199D462B"/>
    <w:rsid w:val="1B8F3DD4"/>
    <w:rsid w:val="1F6A69F1"/>
    <w:rsid w:val="1F764276"/>
    <w:rsid w:val="21946E26"/>
    <w:rsid w:val="22237E40"/>
    <w:rsid w:val="22765024"/>
    <w:rsid w:val="29A6169E"/>
    <w:rsid w:val="2E7F1A64"/>
    <w:rsid w:val="2F4943B9"/>
    <w:rsid w:val="33641229"/>
    <w:rsid w:val="33CF0068"/>
    <w:rsid w:val="34F030DD"/>
    <w:rsid w:val="35700E4A"/>
    <w:rsid w:val="36BC5BA3"/>
    <w:rsid w:val="3C9009A8"/>
    <w:rsid w:val="3CC8496B"/>
    <w:rsid w:val="3E99265C"/>
    <w:rsid w:val="3EAF1AA9"/>
    <w:rsid w:val="3F9773AC"/>
    <w:rsid w:val="412133DE"/>
    <w:rsid w:val="455065A2"/>
    <w:rsid w:val="47FF02E4"/>
    <w:rsid w:val="4AE75F55"/>
    <w:rsid w:val="4BBE0E50"/>
    <w:rsid w:val="4C9E0601"/>
    <w:rsid w:val="4DC54476"/>
    <w:rsid w:val="506A3ECB"/>
    <w:rsid w:val="50D30FED"/>
    <w:rsid w:val="5130080D"/>
    <w:rsid w:val="51E00EB0"/>
    <w:rsid w:val="535A03A2"/>
    <w:rsid w:val="547E1EAC"/>
    <w:rsid w:val="54CF3206"/>
    <w:rsid w:val="578064FB"/>
    <w:rsid w:val="58663E46"/>
    <w:rsid w:val="5AC463C0"/>
    <w:rsid w:val="5CEC3E27"/>
    <w:rsid w:val="5DFE758B"/>
    <w:rsid w:val="5F3B6ED3"/>
    <w:rsid w:val="61377E0E"/>
    <w:rsid w:val="63A665AA"/>
    <w:rsid w:val="6A2A6241"/>
    <w:rsid w:val="7132083A"/>
    <w:rsid w:val="73A5734C"/>
    <w:rsid w:val="74122E17"/>
    <w:rsid w:val="76515061"/>
    <w:rsid w:val="768E7B11"/>
    <w:rsid w:val="7D43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character" w:styleId="12">
    <w:name w:val="FollowedHyperlink"/>
    <w:basedOn w:val="11"/>
    <w:qFormat/>
    <w:uiPriority w:val="0"/>
    <w:rPr>
      <w:color w:val="800080"/>
      <w:u w:val="single"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7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718</Words>
  <Characters>918</Characters>
  <Lines>4</Lines>
  <Paragraphs>1</Paragraphs>
  <TotalTime>19</TotalTime>
  <ScaleCrop>false</ScaleCrop>
  <LinksUpToDate>false</LinksUpToDate>
  <CharactersWithSpaces>921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2025-09-16T15:04:00Z</dcterms:created>
  <dc:creator>wisedu</dc:creator>
  <cp:lastModifiedBy>YYY</cp:lastModifiedBy>
  <dcterms:modified xsi:type="dcterms:W3CDTF">2026-09-08T01:34:13Z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eyJoZGlkIjoiMzAzZmE0MjY1NGFiZjA3MGRmZDcxOTE2YTAyZGRkODkiLCJ1c2VySWQiOiIyNjUzMTczMDYifQ==</vt:lpwstr>
  </property>
  <property fmtid="{D5CDD505-2E9C-101B-9397-08002B2CF9AE}" pid="4" name="ICV">
    <vt:lpwstr>96C9BD652D884678B35AB0B25532811C_13</vt:lpwstr>
  </property>
</Properties>
</file>